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A8BB" w14:textId="77777777" w:rsidR="00625F52" w:rsidRPr="00C6365B" w:rsidRDefault="00625F52" w:rsidP="00625F52">
      <w:pPr>
        <w:spacing w:after="0" w:line="360" w:lineRule="auto"/>
        <w:ind w:left="780" w:right="6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>IN THE HON’BLE HIGH COURT OF DELHI</w:t>
      </w:r>
    </w:p>
    <w:p w14:paraId="5C7FDABC" w14:textId="77777777" w:rsidR="00625F52" w:rsidRPr="00C6365B" w:rsidRDefault="00625F52" w:rsidP="00625F52">
      <w:pPr>
        <w:spacing w:after="0" w:line="360" w:lineRule="auto"/>
        <w:ind w:left="780" w:right="6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 xml:space="preserve">ORIGINAL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COMPANY </w:t>
      </w:r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>JURISDICTION</w:t>
      </w:r>
    </w:p>
    <w:p w14:paraId="2FF73F1B" w14:textId="77777777" w:rsidR="00625F52" w:rsidRPr="00C6365B" w:rsidRDefault="00625F52" w:rsidP="00625F52">
      <w:pPr>
        <w:spacing w:after="0" w:line="360" w:lineRule="auto"/>
        <w:ind w:left="780" w:right="6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>IN THE MATTER OF THE COMPANIES ACT, 1956 &amp;</w:t>
      </w:r>
    </w:p>
    <w:p w14:paraId="3B3CBC5C" w14:textId="77777777" w:rsidR="00625F52" w:rsidRPr="00C6365B" w:rsidRDefault="00625F52" w:rsidP="00625F52">
      <w:pPr>
        <w:spacing w:after="0" w:line="360" w:lineRule="auto"/>
        <w:ind w:left="2220" w:right="630" w:firstLine="6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>IN THE MATTER OF</w:t>
      </w:r>
    </w:p>
    <w:p w14:paraId="2412EF30" w14:textId="77777777" w:rsidR="00625F52" w:rsidRPr="009F18F3" w:rsidRDefault="00625F52" w:rsidP="00625F52">
      <w:pPr>
        <w:spacing w:after="0" w:line="360" w:lineRule="auto"/>
        <w:ind w:left="780" w:right="63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 xml:space="preserve">M/S </w:t>
      </w:r>
      <w:r w:rsidRPr="009F18F3">
        <w:rPr>
          <w:rFonts w:ascii="Times New Roman" w:eastAsia="Times New Roman" w:hAnsi="Times New Roman" w:cs="Times New Roman"/>
          <w:b/>
          <w:bCs/>
          <w:sz w:val="26"/>
          <w:szCs w:val="26"/>
        </w:rPr>
        <w:t>SURYANSH ALLOYS &amp; STEELS P. LTD.</w:t>
      </w:r>
    </w:p>
    <w:p w14:paraId="056ECF25" w14:textId="77777777" w:rsidR="00625F52" w:rsidRPr="009F18F3" w:rsidRDefault="00625F52" w:rsidP="00625F52">
      <w:pPr>
        <w:spacing w:after="0" w:line="360" w:lineRule="auto"/>
        <w:ind w:left="780" w:right="63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F18F3">
        <w:rPr>
          <w:rFonts w:ascii="Times New Roman" w:eastAsia="Times New Roman" w:hAnsi="Times New Roman" w:cs="Times New Roman"/>
          <w:b/>
          <w:bCs/>
          <w:sz w:val="26"/>
          <w:szCs w:val="26"/>
        </w:rPr>
        <w:t>(IN PROV. LIQN.)</w:t>
      </w:r>
    </w:p>
    <w:p w14:paraId="070D7598" w14:textId="77777777" w:rsidR="00625F52" w:rsidRPr="00C6365B" w:rsidRDefault="00625F52" w:rsidP="00625F52">
      <w:pPr>
        <w:spacing w:after="0" w:line="240" w:lineRule="auto"/>
        <w:ind w:left="780" w:right="6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 xml:space="preserve">COMPANY PETITION NO.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222/2015</w:t>
      </w:r>
    </w:p>
    <w:p w14:paraId="2A64EFB5" w14:textId="77777777" w:rsidR="00625F52" w:rsidRDefault="00625F52" w:rsidP="00625F52">
      <w:pPr>
        <w:spacing w:after="0" w:line="240" w:lineRule="auto"/>
        <w:ind w:left="780" w:right="63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D4CC206" w14:textId="77777777" w:rsidR="00625F52" w:rsidRPr="00C6365B" w:rsidRDefault="00625F52" w:rsidP="00625F52">
      <w:pPr>
        <w:spacing w:after="0" w:line="240" w:lineRule="auto"/>
        <w:ind w:left="780" w:right="63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6365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E-AUCTION SALE NOTICE</w:t>
      </w:r>
    </w:p>
    <w:p w14:paraId="04BC6721" w14:textId="77777777" w:rsidR="00625F52" w:rsidRDefault="00625F52" w:rsidP="00625F52">
      <w:pPr>
        <w:spacing w:after="0" w:line="24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CD15B5" w14:textId="77777777" w:rsidR="00625F52" w:rsidRPr="00C6365B" w:rsidRDefault="00625F52" w:rsidP="00625F52">
      <w:p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Tenders/bids are invited for E-auction of the following assets and properties of the company (In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Prov. </w:t>
      </w:r>
      <w:proofErr w:type="spellStart"/>
      <w:r w:rsidRPr="00C6365B">
        <w:rPr>
          <w:rFonts w:ascii="Times New Roman" w:eastAsia="Times New Roman" w:hAnsi="Times New Roman" w:cs="Times New Roman"/>
          <w:sz w:val="26"/>
          <w:szCs w:val="26"/>
        </w:rPr>
        <w:t>Liqn</w:t>
      </w:r>
      <w:proofErr w:type="spellEnd"/>
      <w:r w:rsidRPr="00C6365B">
        <w:rPr>
          <w:rFonts w:ascii="Times New Roman" w:eastAsia="Times New Roman" w:hAnsi="Times New Roman" w:cs="Times New Roman"/>
          <w:sz w:val="26"/>
          <w:szCs w:val="26"/>
        </w:rPr>
        <w:t>) on “</w:t>
      </w:r>
      <w:bookmarkStart w:id="0" w:name="_Hlk118901597"/>
      <w:r w:rsidRPr="00C6365B">
        <w:rPr>
          <w:rFonts w:ascii="Times New Roman" w:eastAsia="Times New Roman" w:hAnsi="Times New Roman" w:cs="Times New Roman"/>
          <w:b/>
          <w:sz w:val="26"/>
          <w:szCs w:val="26"/>
        </w:rPr>
        <w:t>As is Where is Whatever there is basis</w:t>
      </w:r>
      <w:bookmarkEnd w:id="0"/>
      <w:r w:rsidRPr="00C6365B">
        <w:rPr>
          <w:rFonts w:ascii="Times New Roman" w:eastAsia="Times New Roman" w:hAnsi="Times New Roman" w:cs="Times New Roman"/>
          <w:sz w:val="26"/>
          <w:szCs w:val="26"/>
        </w:rPr>
        <w:t>” from the prospective buyers. The details of Reserve Price and EMD are as under:</w:t>
      </w:r>
    </w:p>
    <w:p w14:paraId="38C6ADDA" w14:textId="77777777" w:rsidR="00625F52" w:rsidRPr="00C6365B" w:rsidRDefault="00625F52" w:rsidP="00625F52">
      <w:pPr>
        <w:spacing w:after="0" w:line="360" w:lineRule="auto"/>
        <w:ind w:left="780"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09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76"/>
        <w:gridCol w:w="1841"/>
        <w:gridCol w:w="1874"/>
      </w:tblGrid>
      <w:tr w:rsidR="00625F52" w:rsidRPr="00C6365B" w14:paraId="4AAC5D1D" w14:textId="77777777" w:rsidTr="006A2E36">
        <w:trPr>
          <w:trHeight w:val="597"/>
        </w:trPr>
        <w:tc>
          <w:tcPr>
            <w:tcW w:w="704" w:type="dxa"/>
            <w:shd w:val="clear" w:color="auto" w:fill="auto"/>
          </w:tcPr>
          <w:p w14:paraId="390849A8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17F1A">
              <w:rPr>
                <w:rFonts w:ascii="Times New Roman" w:hAnsi="Times New Roman" w:cs="Times New Roman"/>
                <w:b/>
              </w:rPr>
              <w:t>Lot No.</w:t>
            </w:r>
          </w:p>
        </w:tc>
        <w:tc>
          <w:tcPr>
            <w:tcW w:w="3676" w:type="dxa"/>
            <w:shd w:val="clear" w:color="auto" w:fill="auto"/>
          </w:tcPr>
          <w:p w14:paraId="0DFE741F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17F1A">
              <w:rPr>
                <w:rFonts w:ascii="Times New Roman" w:hAnsi="Times New Roman" w:cs="Times New Roman"/>
                <w:b/>
              </w:rPr>
              <w:t>Description of the Property</w:t>
            </w:r>
          </w:p>
        </w:tc>
        <w:tc>
          <w:tcPr>
            <w:tcW w:w="1841" w:type="dxa"/>
            <w:shd w:val="clear" w:color="auto" w:fill="auto"/>
          </w:tcPr>
          <w:p w14:paraId="75B984AD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17F1A">
              <w:rPr>
                <w:rFonts w:ascii="Times New Roman" w:hAnsi="Times New Roman" w:cs="Times New Roman"/>
                <w:b/>
              </w:rPr>
              <w:t>Reserve Price</w:t>
            </w:r>
          </w:p>
          <w:p w14:paraId="6923E29F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17F1A">
              <w:rPr>
                <w:rFonts w:ascii="Times New Roman" w:hAnsi="Times New Roman" w:cs="Times New Roman"/>
                <w:b/>
              </w:rPr>
              <w:t xml:space="preserve"> (In Rs.) </w:t>
            </w:r>
          </w:p>
        </w:tc>
        <w:tc>
          <w:tcPr>
            <w:tcW w:w="1874" w:type="dxa"/>
            <w:shd w:val="clear" w:color="auto" w:fill="auto"/>
          </w:tcPr>
          <w:p w14:paraId="20B9DEAE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17F1A">
              <w:rPr>
                <w:rFonts w:ascii="Times New Roman" w:hAnsi="Times New Roman" w:cs="Times New Roman"/>
                <w:b/>
              </w:rPr>
              <w:t xml:space="preserve">EMD 10% </w:t>
            </w:r>
          </w:p>
          <w:p w14:paraId="15A088CA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17F1A">
              <w:rPr>
                <w:rFonts w:ascii="Times New Roman" w:hAnsi="Times New Roman" w:cs="Times New Roman"/>
                <w:b/>
              </w:rPr>
              <w:t>(In Rs.)</w:t>
            </w:r>
          </w:p>
        </w:tc>
      </w:tr>
      <w:tr w:rsidR="00625F52" w:rsidRPr="00C6365B" w14:paraId="670CA138" w14:textId="77777777" w:rsidTr="006A2E36">
        <w:trPr>
          <w:trHeight w:val="2483"/>
        </w:trPr>
        <w:tc>
          <w:tcPr>
            <w:tcW w:w="704" w:type="dxa"/>
            <w:shd w:val="clear" w:color="auto" w:fill="auto"/>
          </w:tcPr>
          <w:p w14:paraId="517CF00F" w14:textId="77777777" w:rsidR="00625F52" w:rsidRPr="00F17F1A" w:rsidRDefault="00625F52" w:rsidP="006A2E36">
            <w:pPr>
              <w:spacing w:after="0" w:line="240" w:lineRule="auto"/>
              <w:ind w:left="23"/>
              <w:rPr>
                <w:rFonts w:ascii="Times New Roman" w:hAnsi="Times New Roman" w:cs="Times New Roman"/>
                <w:b/>
              </w:rPr>
            </w:pPr>
            <w:r w:rsidRPr="00F17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14:paraId="41125713" w14:textId="77777777" w:rsidR="00625F52" w:rsidRPr="00F17F1A" w:rsidRDefault="00625F52" w:rsidP="006A2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F1A">
              <w:rPr>
                <w:rFonts w:ascii="Times New Roman" w:hAnsi="Times New Roman" w:cs="Times New Roman"/>
                <w:bCs/>
                <w:sz w:val="24"/>
                <w:szCs w:val="24"/>
              </w:rPr>
              <w:t>Land (Freehold) Total Plot Area = 15 Bigha</w:t>
            </w:r>
          </w:p>
          <w:p w14:paraId="77A355C1" w14:textId="77777777" w:rsidR="00625F52" w:rsidRPr="00F17F1A" w:rsidRDefault="00625F52" w:rsidP="006A2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F1A">
              <w:rPr>
                <w:rFonts w:ascii="Times New Roman" w:hAnsi="Times New Roman" w:cs="Times New Roman"/>
                <w:bCs/>
                <w:sz w:val="24"/>
                <w:szCs w:val="24"/>
              </w:rPr>
              <w:t>R.C.C. Area = 839.75 SFT.</w:t>
            </w:r>
          </w:p>
          <w:p w14:paraId="501DD5DB" w14:textId="77777777" w:rsidR="00625F52" w:rsidRPr="00F17F1A" w:rsidRDefault="00625F52" w:rsidP="006A2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F1A">
              <w:rPr>
                <w:rFonts w:ascii="Times New Roman" w:hAnsi="Times New Roman" w:cs="Times New Roman"/>
                <w:bCs/>
                <w:sz w:val="24"/>
                <w:szCs w:val="24"/>
              </w:rPr>
              <w:t>Shed Area = 24403.50 SFT</w:t>
            </w:r>
          </w:p>
          <w:p w14:paraId="23A21F6E" w14:textId="77777777" w:rsidR="00625F52" w:rsidRDefault="00625F52" w:rsidP="006A2E36">
            <w:pPr>
              <w:spacing w:after="0" w:line="240" w:lineRule="auto"/>
              <w:rPr>
                <w:rFonts w:ascii="Bookman Old Style" w:hAnsi="Bookman Old Style"/>
                <w:bCs/>
                <w:lang w:val="en-AU"/>
              </w:rPr>
            </w:pPr>
            <w:r>
              <w:rPr>
                <w:rFonts w:ascii="Bookman Old Style" w:hAnsi="Bookman Old Style"/>
                <w:bCs/>
                <w:lang w:val="en-AU"/>
              </w:rPr>
              <w:t>Boundary Wall</w:t>
            </w:r>
          </w:p>
          <w:p w14:paraId="1D9C95E1" w14:textId="77777777" w:rsidR="00625F52" w:rsidRPr="00F17F1A" w:rsidRDefault="00625F52" w:rsidP="006A2E36">
            <w:pPr>
              <w:spacing w:after="0" w:line="240" w:lineRule="auto"/>
              <w:rPr>
                <w:rFonts w:ascii="Bookman Old Style" w:hAnsi="Bookman Old Style"/>
                <w:bCs/>
                <w:lang w:val="en-AU"/>
              </w:rPr>
            </w:pPr>
            <w:proofErr w:type="spellStart"/>
            <w:r w:rsidRPr="00F17F1A">
              <w:rPr>
                <w:rFonts w:ascii="Bookman Old Style" w:hAnsi="Bookman Old Style"/>
                <w:bCs/>
                <w:lang w:val="en-AU"/>
              </w:rPr>
              <w:t>Khata</w:t>
            </w:r>
            <w:proofErr w:type="spellEnd"/>
            <w:r w:rsidRPr="00F17F1A">
              <w:rPr>
                <w:rFonts w:ascii="Bookman Old Style" w:hAnsi="Bookman Old Style"/>
                <w:bCs/>
                <w:lang w:val="en-AU"/>
              </w:rPr>
              <w:t xml:space="preserve"> </w:t>
            </w:r>
            <w:proofErr w:type="spellStart"/>
            <w:r w:rsidRPr="00F17F1A">
              <w:rPr>
                <w:rFonts w:ascii="Bookman Old Style" w:hAnsi="Bookman Old Style"/>
                <w:bCs/>
                <w:lang w:val="en-AU"/>
              </w:rPr>
              <w:t>Khatuni</w:t>
            </w:r>
            <w:proofErr w:type="spellEnd"/>
            <w:r w:rsidRPr="00F17F1A">
              <w:rPr>
                <w:rFonts w:ascii="Bookman Old Style" w:hAnsi="Bookman Old Style"/>
                <w:bCs/>
                <w:lang w:val="en-AU"/>
              </w:rPr>
              <w:t xml:space="preserve"> No’s. 95/163, bearing </w:t>
            </w:r>
            <w:proofErr w:type="spellStart"/>
            <w:r w:rsidRPr="00F17F1A">
              <w:rPr>
                <w:rFonts w:ascii="Bookman Old Style" w:hAnsi="Bookman Old Style"/>
                <w:bCs/>
                <w:lang w:val="en-AU"/>
              </w:rPr>
              <w:t>Khasra</w:t>
            </w:r>
            <w:proofErr w:type="spellEnd"/>
            <w:r w:rsidRPr="00F17F1A">
              <w:rPr>
                <w:rFonts w:ascii="Bookman Old Style" w:hAnsi="Bookman Old Style"/>
                <w:bCs/>
                <w:lang w:val="en-AU"/>
              </w:rPr>
              <w:t xml:space="preserve"> No’s. 177/96, 176/96, and 175/96,</w:t>
            </w:r>
            <w:r>
              <w:rPr>
                <w:rFonts w:ascii="Bookman Old Style" w:hAnsi="Bookman Old Style"/>
                <w:bCs/>
                <w:lang w:val="en-AU"/>
              </w:rPr>
              <w:t xml:space="preserve"> (earlier known as </w:t>
            </w:r>
            <w:proofErr w:type="spellStart"/>
            <w:r>
              <w:rPr>
                <w:rFonts w:ascii="Bookman Old Style" w:hAnsi="Bookman Old Style"/>
                <w:bCs/>
                <w:lang w:val="en-AU"/>
              </w:rPr>
              <w:t>Khata</w:t>
            </w:r>
            <w:proofErr w:type="spellEnd"/>
            <w:r>
              <w:rPr>
                <w:rFonts w:ascii="Bookman Old Style" w:hAnsi="Bookman Old Style"/>
                <w:bCs/>
                <w:lang w:val="en-A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lang w:val="en-AU"/>
              </w:rPr>
              <w:t>Khatauni</w:t>
            </w:r>
            <w:proofErr w:type="spellEnd"/>
            <w:r>
              <w:rPr>
                <w:rFonts w:ascii="Bookman Old Style" w:hAnsi="Bookman Old Style"/>
                <w:bCs/>
                <w:lang w:val="en-AU"/>
              </w:rPr>
              <w:t xml:space="preserve"> no. 83/152, 82/151, 81/150 bearing no. 177/96, 176/96 and 175/96)</w:t>
            </w:r>
            <w:r w:rsidRPr="00F17F1A">
              <w:rPr>
                <w:rFonts w:ascii="Bookman Old Style" w:hAnsi="Bookman Old Style"/>
                <w:bCs/>
                <w:lang w:val="en-AU"/>
              </w:rPr>
              <w:t xml:space="preserve"> admeasuring 15 Bighas. </w:t>
            </w:r>
          </w:p>
          <w:p w14:paraId="1B2EA731" w14:textId="77777777" w:rsidR="00625F52" w:rsidRPr="00F17F1A" w:rsidRDefault="00625F52" w:rsidP="006A2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F1A">
              <w:rPr>
                <w:rFonts w:ascii="Bookman Old Style" w:hAnsi="Bookman Old Style"/>
                <w:bCs/>
                <w:lang w:val="en-AU"/>
              </w:rPr>
              <w:t xml:space="preserve">Situated at Waka </w:t>
            </w:r>
            <w:proofErr w:type="spellStart"/>
            <w:r w:rsidRPr="00F17F1A">
              <w:rPr>
                <w:rFonts w:ascii="Bookman Old Style" w:hAnsi="Bookman Old Style"/>
                <w:bCs/>
                <w:lang w:val="en-AU"/>
              </w:rPr>
              <w:t>Mauja</w:t>
            </w:r>
            <w:proofErr w:type="spellEnd"/>
            <w:r w:rsidRPr="00F17F1A">
              <w:rPr>
                <w:rFonts w:ascii="Bookman Old Style" w:hAnsi="Bookman Old Style"/>
                <w:bCs/>
                <w:lang w:val="en-AU"/>
              </w:rPr>
              <w:t xml:space="preserve"> </w:t>
            </w:r>
            <w:proofErr w:type="spellStart"/>
            <w:r w:rsidRPr="00F17F1A">
              <w:rPr>
                <w:rFonts w:ascii="Bookman Old Style" w:hAnsi="Bookman Old Style"/>
                <w:bCs/>
                <w:lang w:val="en-AU"/>
              </w:rPr>
              <w:t>Nihalgarh</w:t>
            </w:r>
            <w:proofErr w:type="spellEnd"/>
            <w:r w:rsidRPr="00F17F1A">
              <w:rPr>
                <w:rFonts w:ascii="Bookman Old Style" w:hAnsi="Bookman Old Style"/>
                <w:bCs/>
                <w:lang w:val="en-AU"/>
              </w:rPr>
              <w:t xml:space="preserve">, Tehsil - </w:t>
            </w:r>
            <w:proofErr w:type="spellStart"/>
            <w:r w:rsidRPr="00F17F1A">
              <w:rPr>
                <w:rFonts w:ascii="Bookman Old Style" w:hAnsi="Bookman Old Style"/>
                <w:bCs/>
                <w:lang w:val="en-AU"/>
              </w:rPr>
              <w:t>Paonta</w:t>
            </w:r>
            <w:proofErr w:type="spellEnd"/>
            <w:r w:rsidRPr="00F17F1A">
              <w:rPr>
                <w:rFonts w:ascii="Bookman Old Style" w:hAnsi="Bookman Old Style"/>
                <w:bCs/>
                <w:lang w:val="en-AU"/>
              </w:rPr>
              <w:t xml:space="preserve"> Sahib, District </w:t>
            </w:r>
            <w:proofErr w:type="spellStart"/>
            <w:r w:rsidRPr="00F17F1A">
              <w:rPr>
                <w:rFonts w:ascii="Bookman Old Style" w:hAnsi="Bookman Old Style"/>
                <w:bCs/>
                <w:lang w:val="en-AU"/>
              </w:rPr>
              <w:t>Sirmour</w:t>
            </w:r>
            <w:proofErr w:type="spellEnd"/>
            <w:r w:rsidRPr="00F17F1A">
              <w:rPr>
                <w:rFonts w:ascii="Bookman Old Style" w:hAnsi="Bookman Old Style"/>
                <w:bCs/>
                <w:lang w:val="en-AU"/>
              </w:rPr>
              <w:t xml:space="preserve"> (Himachal Pradesh)</w:t>
            </w:r>
          </w:p>
        </w:tc>
        <w:tc>
          <w:tcPr>
            <w:tcW w:w="1841" w:type="dxa"/>
            <w:shd w:val="clear" w:color="auto" w:fill="auto"/>
          </w:tcPr>
          <w:p w14:paraId="67D0BD18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DF327B2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Bookman Old Style" w:hAnsi="Bookman Old Style"/>
                <w:bCs/>
              </w:rPr>
            </w:pPr>
          </w:p>
          <w:p w14:paraId="0446B9AD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7F1A">
              <w:rPr>
                <w:rFonts w:ascii="Bookman Old Style" w:hAnsi="Bookman Old Style"/>
                <w:bCs/>
              </w:rPr>
              <w:t xml:space="preserve">2,87,16,600/-                                                                                                                                         </w:t>
            </w:r>
          </w:p>
        </w:tc>
        <w:tc>
          <w:tcPr>
            <w:tcW w:w="1874" w:type="dxa"/>
            <w:shd w:val="clear" w:color="auto" w:fill="auto"/>
          </w:tcPr>
          <w:p w14:paraId="284DC571" w14:textId="77777777" w:rsidR="00625F52" w:rsidRPr="00F17F1A" w:rsidRDefault="00625F52" w:rsidP="006A2E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A9C3E3E" w14:textId="77777777" w:rsidR="00625F52" w:rsidRPr="00F17F1A" w:rsidRDefault="00625F52" w:rsidP="006A2E36">
            <w:pPr>
              <w:spacing w:after="0" w:line="240" w:lineRule="auto"/>
              <w:contextualSpacing/>
              <w:rPr>
                <w:rFonts w:ascii="Bookman Old Style" w:hAnsi="Bookman Old Style"/>
                <w:bCs/>
              </w:rPr>
            </w:pPr>
            <w:r w:rsidRPr="00F17F1A">
              <w:rPr>
                <w:rFonts w:ascii="Bookman Old Style" w:hAnsi="Bookman Old Style"/>
                <w:bCs/>
              </w:rPr>
              <w:t xml:space="preserve">                       28,71,660/-  </w:t>
            </w:r>
          </w:p>
        </w:tc>
      </w:tr>
    </w:tbl>
    <w:p w14:paraId="6A91D33C" w14:textId="77777777" w:rsidR="00625F52" w:rsidRDefault="00625F52" w:rsidP="00625F52">
      <w:pPr>
        <w:spacing w:after="0" w:line="360" w:lineRule="auto"/>
        <w:ind w:left="780"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61823B" w14:textId="77777777" w:rsidR="00625F52" w:rsidRPr="00AC77CB" w:rsidRDefault="00625F52" w:rsidP="00625F52">
      <w:pPr>
        <w:spacing w:after="0" w:line="360" w:lineRule="auto"/>
        <w:ind w:left="780" w:right="63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AC77C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Note:</w:t>
      </w:r>
    </w:p>
    <w:p w14:paraId="72CDFEAD" w14:textId="77777777" w:rsidR="00625F52" w:rsidRPr="00C6365B" w:rsidRDefault="00625F52" w:rsidP="00625F52">
      <w:pPr>
        <w:numPr>
          <w:ilvl w:val="0"/>
          <w:numId w:val="1"/>
        </w:num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7CB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nspection of the above assets/ properties will be held on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C170A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&amp; 28</w:t>
      </w:r>
      <w:r w:rsidRPr="00C170A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February 2023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 between 11:00 A.M to 5:30 P.M.</w:t>
      </w:r>
    </w:p>
    <w:p w14:paraId="63B02CC1" w14:textId="77777777" w:rsidR="00625F52" w:rsidRDefault="00625F52" w:rsidP="00625F52">
      <w:pPr>
        <w:spacing w:after="0" w:line="360" w:lineRule="auto"/>
        <w:ind w:left="720"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At the time of taking inspection of the aforesaid assets/ properties of the company (In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Prov. </w:t>
      </w:r>
      <w:proofErr w:type="spellStart"/>
      <w:r w:rsidRPr="00C6365B">
        <w:rPr>
          <w:rFonts w:ascii="Times New Roman" w:eastAsia="Times New Roman" w:hAnsi="Times New Roman" w:cs="Times New Roman"/>
          <w:sz w:val="26"/>
          <w:szCs w:val="26"/>
        </w:rPr>
        <w:t>Liqn</w:t>
      </w:r>
      <w:proofErr w:type="spellEnd"/>
      <w:r w:rsidRPr="00C6365B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the factory premises, </w:t>
      </w:r>
      <w:r w:rsidRPr="00984D67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D6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D67">
        <w:rPr>
          <w:rFonts w:ascii="Times New Roman" w:eastAsia="Times New Roman" w:hAnsi="Times New Roman" w:cs="Times New Roman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D67">
        <w:rPr>
          <w:rFonts w:ascii="Times New Roman" w:eastAsia="Times New Roman" w:hAnsi="Times New Roman" w:cs="Times New Roman"/>
          <w:sz w:val="24"/>
          <w:szCs w:val="24"/>
        </w:rPr>
        <w:t xml:space="preserve">buyers 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are requested to follow the advisory issued by the District Administration of 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lastRenderedPageBreak/>
        <w:t>the area in respect of spread of COVID-19 in the interest of their own wellbeing and in public interest.</w:t>
      </w:r>
    </w:p>
    <w:p w14:paraId="78B1D654" w14:textId="77777777" w:rsidR="00625F52" w:rsidRDefault="00625F52" w:rsidP="00625F52">
      <w:pPr>
        <w:spacing w:after="0" w:line="360" w:lineRule="auto"/>
        <w:ind w:left="720"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785C22" w14:textId="77777777" w:rsidR="00625F52" w:rsidRDefault="00625F52" w:rsidP="00625F52">
      <w:pPr>
        <w:numPr>
          <w:ilvl w:val="0"/>
          <w:numId w:val="1"/>
        </w:num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The e-auction will be conducted through the website https://Olauction.enivida.com on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10.03.2023 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>between 11.00 A.M to 3.00 P.M. with auto time extension of 10 minutes each time if the bid is made in the Last 10 minutes before the close of e-auction.</w:t>
      </w:r>
    </w:p>
    <w:p w14:paraId="79737BDC" w14:textId="77777777" w:rsidR="00625F52" w:rsidRDefault="00625F52" w:rsidP="00625F52">
      <w:pPr>
        <w:numPr>
          <w:ilvl w:val="0"/>
          <w:numId w:val="1"/>
        </w:num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The bidders/tenderers should submit their online offer through the website </w:t>
      </w:r>
      <w:hyperlink r:id="rId5" w:history="1">
        <w:r w:rsidRPr="00C6365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https://olauction.enivida.com</w:t>
        </w:r>
      </w:hyperlink>
      <w:r w:rsidRPr="00C6365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639C42" w14:textId="77777777" w:rsidR="00625F52" w:rsidRDefault="00625F52" w:rsidP="00625F52">
      <w:pPr>
        <w:spacing w:after="0" w:line="360" w:lineRule="auto"/>
        <w:ind w:left="720"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6E7B33" w14:textId="77777777" w:rsidR="00625F52" w:rsidRPr="00415B99" w:rsidRDefault="00625F52" w:rsidP="00625F52">
      <w:pPr>
        <w:numPr>
          <w:ilvl w:val="0"/>
          <w:numId w:val="1"/>
        </w:num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5B99">
        <w:rPr>
          <w:rFonts w:ascii="Times New Roman" w:eastAsia="Times New Roman" w:hAnsi="Times New Roman" w:cs="Times New Roman"/>
          <w:sz w:val="26"/>
          <w:szCs w:val="26"/>
        </w:rPr>
        <w:t xml:space="preserve">The tenderers should collect the detail information, terms &amp; condition through the website </w:t>
      </w:r>
      <w:hyperlink r:id="rId6" w:history="1">
        <w:r w:rsidRPr="00415B99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GB"/>
          </w:rPr>
          <w:t>https://olauction.enivida.com</w:t>
        </w:r>
      </w:hyperlink>
      <w:r w:rsidRPr="00415B99">
        <w:rPr>
          <w:rFonts w:ascii="Times New Roman" w:eastAsia="Times New Roman" w:hAnsi="Times New Roman" w:cs="Times New Roman"/>
          <w:sz w:val="26"/>
          <w:szCs w:val="26"/>
        </w:rPr>
        <w:t xml:space="preserve"> and may also take help from the below </w:t>
      </w:r>
      <w:proofErr w:type="gramStart"/>
      <w:r w:rsidRPr="00415B99">
        <w:rPr>
          <w:rFonts w:ascii="Times New Roman" w:eastAsia="Times New Roman" w:hAnsi="Times New Roman" w:cs="Times New Roman"/>
          <w:sz w:val="26"/>
          <w:szCs w:val="26"/>
        </w:rPr>
        <w:t>contacts:-</w:t>
      </w:r>
      <w:proofErr w:type="gramEnd"/>
    </w:p>
    <w:p w14:paraId="5F792A98" w14:textId="77777777" w:rsidR="00625F52" w:rsidRDefault="00625F52" w:rsidP="00625F52">
      <w:pPr>
        <w:spacing w:after="0" w:line="360" w:lineRule="auto"/>
        <w:ind w:left="720"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Navneet Mishra </w:t>
      </w:r>
      <w:r>
        <w:rPr>
          <w:rFonts w:ascii="Times New Roman" w:eastAsia="Times New Roman" w:hAnsi="Times New Roman" w:cs="Times New Roman"/>
          <w:sz w:val="26"/>
          <w:szCs w:val="26"/>
        </w:rPr>
        <w:t>9355030630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; Amrendra Kumar </w:t>
      </w:r>
      <w:r>
        <w:rPr>
          <w:rFonts w:ascii="Times New Roman" w:eastAsia="Times New Roman" w:hAnsi="Times New Roman" w:cs="Times New Roman"/>
          <w:sz w:val="26"/>
          <w:szCs w:val="26"/>
        </w:rPr>
        <w:t>8448288980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>; Anand Kumar 9355030602</w:t>
      </w:r>
      <w:r>
        <w:rPr>
          <w:rFonts w:ascii="Times New Roman" w:eastAsia="Times New Roman" w:hAnsi="Times New Roman" w:cs="Times New Roman"/>
          <w:sz w:val="26"/>
          <w:szCs w:val="26"/>
        </w:rPr>
        <w:t>, Official Liquadator-011-</w:t>
      </w:r>
      <w:r w:rsidRPr="00F707DB">
        <w:rPr>
          <w:rFonts w:ascii="Times New Roman" w:eastAsia="Times New Roman" w:hAnsi="Times New Roman" w:cs="Times New Roman"/>
          <w:sz w:val="26"/>
          <w:szCs w:val="26"/>
        </w:rPr>
        <w:t>24693393</w:t>
      </w:r>
      <w:r>
        <w:rPr>
          <w:rFonts w:ascii="Times New Roman" w:eastAsia="Times New Roman" w:hAnsi="Times New Roman" w:cs="Times New Roman"/>
          <w:sz w:val="26"/>
          <w:szCs w:val="26"/>
        </w:rPr>
        <w:t>, 24693394.</w:t>
      </w:r>
    </w:p>
    <w:p w14:paraId="4663E59B" w14:textId="77777777" w:rsidR="00625F52" w:rsidRDefault="00625F52" w:rsidP="00625F52">
      <w:p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6C43BA" w14:textId="77777777" w:rsidR="00625F52" w:rsidRDefault="00625F52" w:rsidP="00625F52">
      <w:pPr>
        <w:numPr>
          <w:ilvl w:val="0"/>
          <w:numId w:val="1"/>
        </w:num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sz w:val="26"/>
          <w:szCs w:val="26"/>
        </w:rPr>
        <w:t>The EMD amount (interest free) should be deposited through the modes available on the portal. The last date of request and participation in e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6365B">
        <w:rPr>
          <w:rFonts w:ascii="Times New Roman" w:eastAsia="Times New Roman" w:hAnsi="Times New Roman" w:cs="Times New Roman"/>
          <w:sz w:val="26"/>
          <w:szCs w:val="26"/>
        </w:rPr>
        <w:t xml:space="preserve">Auction and online submission of EMD is </w:t>
      </w:r>
      <w:r>
        <w:rPr>
          <w:rFonts w:ascii="Times New Roman" w:eastAsia="Times New Roman" w:hAnsi="Times New Roman" w:cs="Times New Roman"/>
          <w:sz w:val="26"/>
          <w:szCs w:val="26"/>
        </w:rPr>
        <w:t>06.03.2023 at 5.00 pm.</w:t>
      </w:r>
    </w:p>
    <w:p w14:paraId="316EF6EF" w14:textId="77777777" w:rsidR="00625F52" w:rsidRDefault="00625F52" w:rsidP="00625F52">
      <w:pPr>
        <w:spacing w:after="0" w:line="360" w:lineRule="auto"/>
        <w:ind w:left="720"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0409CB" w14:textId="77777777" w:rsidR="00625F52" w:rsidRPr="00C6365B" w:rsidRDefault="00625F52" w:rsidP="00625F52">
      <w:pPr>
        <w:numPr>
          <w:ilvl w:val="0"/>
          <w:numId w:val="1"/>
        </w:numPr>
        <w:spacing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65B">
        <w:rPr>
          <w:rFonts w:ascii="Times New Roman" w:eastAsia="Times New Roman" w:hAnsi="Times New Roman" w:cs="Times New Roman"/>
          <w:sz w:val="26"/>
          <w:szCs w:val="26"/>
        </w:rPr>
        <w:t>This sale is subject to confirmation by the Hon’ble High Court of Delhi.</w:t>
      </w:r>
    </w:p>
    <w:p w14:paraId="7AF85CFD" w14:textId="77777777" w:rsidR="00625F52" w:rsidRDefault="00625F52" w:rsidP="00625F52">
      <w:pPr>
        <w:spacing w:after="0" w:line="360" w:lineRule="auto"/>
        <w:ind w:left="360" w:right="63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144CDC" w14:textId="47F25532" w:rsidR="00625F52" w:rsidRDefault="00625F52" w:rsidP="00625F52">
      <w:pPr>
        <w:spacing w:after="0" w:line="360" w:lineRule="auto"/>
        <w:ind w:left="6840" w:right="630"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Sd/-</w:t>
      </w:r>
    </w:p>
    <w:p w14:paraId="4D7E8F67" w14:textId="0834207E" w:rsidR="00625F52" w:rsidRDefault="00625F52" w:rsidP="00625F52">
      <w:pPr>
        <w:spacing w:after="0" w:line="240" w:lineRule="auto"/>
        <w:ind w:left="360" w:right="63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.02.2023         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  A. K. MAHAPATRA</w:t>
      </w:r>
    </w:p>
    <w:p w14:paraId="16D56838" w14:textId="7440F3B8" w:rsidR="00625F52" w:rsidRPr="00415B99" w:rsidRDefault="00625F52" w:rsidP="00625F52">
      <w:pPr>
        <w:spacing w:after="0" w:line="240" w:lineRule="auto"/>
        <w:ind w:right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PLACE: NEW DELHI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>OFFICIAL LIQUIDATOR</w:t>
      </w:r>
    </w:p>
    <w:p w14:paraId="140BED16" w14:textId="03144888" w:rsidR="00625F52" w:rsidRPr="00415B99" w:rsidRDefault="00625F52" w:rsidP="00625F52">
      <w:pPr>
        <w:spacing w:after="0" w:line="240" w:lineRule="auto"/>
        <w:ind w:right="6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415B99">
        <w:rPr>
          <w:rFonts w:ascii="Times New Roman" w:eastAsia="Times New Roman" w:hAnsi="Times New Roman" w:cs="Times New Roman"/>
          <w:b/>
          <w:sz w:val="24"/>
          <w:szCs w:val="24"/>
        </w:rPr>
        <w:t>ATTACHED TO HON’BLE HIGH COURT OF DELHI</w:t>
      </w:r>
    </w:p>
    <w:p w14:paraId="28931612" w14:textId="77777777" w:rsidR="00625F52" w:rsidRPr="00415B99" w:rsidRDefault="00625F52" w:rsidP="00625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99">
        <w:rPr>
          <w:rFonts w:ascii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415B99">
        <w:rPr>
          <w:rFonts w:ascii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415B9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15B99">
        <w:rPr>
          <w:rFonts w:ascii="Times New Roman" w:hAnsi="Times New Roman" w:cs="Times New Roman"/>
          <w:b/>
          <w:sz w:val="24"/>
          <w:szCs w:val="24"/>
        </w:rPr>
        <w:t xml:space="preserve"> FLOOR A WING, LOK NAYAK BHAWAN</w:t>
      </w:r>
    </w:p>
    <w:p w14:paraId="2DC28968" w14:textId="77777777" w:rsidR="00625F52" w:rsidRPr="00415B99" w:rsidRDefault="00625F52" w:rsidP="00625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5B99">
        <w:rPr>
          <w:rFonts w:ascii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hAnsi="Times New Roman" w:cs="Times New Roman"/>
          <w:b/>
          <w:sz w:val="24"/>
          <w:szCs w:val="24"/>
        </w:rPr>
        <w:tab/>
      </w:r>
      <w:r w:rsidRPr="00415B9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KHAN MARKET, NEW DELHI 110003</w:t>
      </w:r>
    </w:p>
    <w:p w14:paraId="373E8EF3" w14:textId="77777777" w:rsidR="00F47F6F" w:rsidRDefault="00F47F6F"/>
    <w:sectPr w:rsidR="00F47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2C62"/>
    <w:multiLevelType w:val="hybridMultilevel"/>
    <w:tmpl w:val="B5A895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1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52"/>
    <w:rsid w:val="00625F52"/>
    <w:rsid w:val="00643606"/>
    <w:rsid w:val="00F47F6F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52EC"/>
  <w15:chartTrackingRefBased/>
  <w15:docId w15:val="{E6C6CFDF-7D2C-4A23-AA81-B879579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52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auction.enivida.com" TargetMode="External"/><Relationship Id="rId5" Type="http://schemas.openxmlformats.org/officeDocument/2006/relationships/hyperlink" Target="https://olauction.enivi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NONOLDEL 002</dc:creator>
  <cp:keywords/>
  <dc:description/>
  <cp:lastModifiedBy>NONOLDEL 002</cp:lastModifiedBy>
  <cp:revision>1</cp:revision>
  <dcterms:created xsi:type="dcterms:W3CDTF">2023-02-23T10:55:00Z</dcterms:created>
  <dcterms:modified xsi:type="dcterms:W3CDTF">2023-02-23T10:57:00Z</dcterms:modified>
</cp:coreProperties>
</file>